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439" w:rsidRDefault="004704C2">
      <w:r>
        <w:rPr>
          <w:noProof/>
        </w:rPr>
        <w:drawing>
          <wp:inline distT="0" distB="0" distL="0" distR="0" wp14:anchorId="03B91D7E" wp14:editId="315077D8">
            <wp:extent cx="9239250" cy="59626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317439" w:rsidSect="004704C2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C2"/>
    <w:rsid w:val="00317439"/>
    <w:rsid w:val="004704C2"/>
    <w:rsid w:val="00AE0B48"/>
    <w:rsid w:val="00F9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704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704C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A8"/>
    <w:rPr>
      <w:rFonts w:ascii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E0B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93FA8"/>
    <w:pPr>
      <w:keepNext/>
      <w:jc w:val="center"/>
      <w:outlineLvl w:val="1"/>
    </w:pPr>
    <w:rPr>
      <w:rFonts w:eastAsia="Times New Roman"/>
      <w:b/>
      <w:sz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4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93FA8"/>
    <w:pPr>
      <w:keepNext/>
      <w:outlineLvl w:val="3"/>
    </w:pPr>
    <w:rPr>
      <w:b/>
      <w:bCs/>
      <w:snapToGrid w:val="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48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48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48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48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4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E0B48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F93FA8"/>
    <w:rPr>
      <w:rFonts w:ascii="Times New Roman" w:eastAsia="Times New Roman" w:hAnsi="Times New Roman"/>
      <w:b/>
      <w:lang w:eastAsia="ru-RU"/>
    </w:rPr>
  </w:style>
  <w:style w:type="character" w:customStyle="1" w:styleId="30">
    <w:name w:val="Заголовок 3 Знак"/>
    <w:link w:val="3"/>
    <w:uiPriority w:val="9"/>
    <w:semiHidden/>
    <w:rsid w:val="00AE0B48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93FA8"/>
    <w:rPr>
      <w:rFonts w:ascii="Times New Roman" w:hAnsi="Times New Roman"/>
      <w:b/>
      <w:bCs/>
      <w:snapToGrid w:val="0"/>
      <w:sz w:val="28"/>
      <w:lang w:eastAsia="ru-RU"/>
    </w:rPr>
  </w:style>
  <w:style w:type="character" w:customStyle="1" w:styleId="50">
    <w:name w:val="Заголовок 5 Знак"/>
    <w:link w:val="5"/>
    <w:uiPriority w:val="9"/>
    <w:semiHidden/>
    <w:rsid w:val="00AE0B48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semiHidden/>
    <w:rsid w:val="00AE0B48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semiHidden/>
    <w:rsid w:val="00AE0B48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semiHidden/>
    <w:rsid w:val="00AE0B48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semiHidden/>
    <w:rsid w:val="00AE0B48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AE0B4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AE0B48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AE0B48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AE0B48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7">
    <w:name w:val="Strong"/>
    <w:uiPriority w:val="22"/>
    <w:qFormat/>
    <w:rsid w:val="00AE0B48"/>
    <w:rPr>
      <w:b/>
      <w:bCs/>
    </w:rPr>
  </w:style>
  <w:style w:type="character" w:styleId="a8">
    <w:name w:val="Emphasis"/>
    <w:uiPriority w:val="20"/>
    <w:qFormat/>
    <w:rsid w:val="00AE0B48"/>
    <w:rPr>
      <w:i/>
      <w:iCs/>
    </w:rPr>
  </w:style>
  <w:style w:type="paragraph" w:styleId="a9">
    <w:name w:val="No Spacing"/>
    <w:basedOn w:val="a"/>
    <w:uiPriority w:val="1"/>
    <w:qFormat/>
    <w:rsid w:val="00AE0B48"/>
  </w:style>
  <w:style w:type="paragraph" w:styleId="aa">
    <w:name w:val="List Paragraph"/>
    <w:basedOn w:val="a"/>
    <w:uiPriority w:val="34"/>
    <w:qFormat/>
    <w:rsid w:val="00AE0B48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AE0B48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AE0B48"/>
    <w:rPr>
      <w:rFonts w:ascii="Times New Roman" w:hAnsi="Times New Roman"/>
      <w:i/>
      <w:iCs/>
      <w:color w:val="000000" w:themeColor="text1"/>
      <w:sz w:val="28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AE0B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AE0B48"/>
    <w:rPr>
      <w:rFonts w:ascii="Times New Roman" w:hAnsi="Times New Roman"/>
      <w:b/>
      <w:bCs/>
      <w:i/>
      <w:iCs/>
      <w:color w:val="4F81BD" w:themeColor="accent1"/>
      <w:sz w:val="28"/>
      <w:lang w:eastAsia="ru-RU"/>
    </w:rPr>
  </w:style>
  <w:style w:type="character" w:styleId="ad">
    <w:name w:val="Subtle Emphasis"/>
    <w:uiPriority w:val="19"/>
    <w:qFormat/>
    <w:rsid w:val="00AE0B48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AE0B48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AE0B48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AE0B48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AE0B48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AE0B48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4704C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704C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5100-18-004\Documents\&#1057;&#1087;&#1088;&#1072;&#1074;&#1082;&#1080;\&#1054;&#1073;&#1088;&#1072;&#1097;&#1077;&#1085;&#1080;&#1103;%20&#1075;&#1088;&#1072;&#1078;&#1076;&#1072;&#1085;\&#1047;&#1072;&#1103;&#1074;&#1082;&#1080;%20&#1085;&#1072;%20&#1089;&#1072;&#1081;&#1090;_&#1045;&#1046;&#1045;&#1050;&#1042;&#1040;&#1056;&#1058;&#1040;&#1051;&#1068;&#1053;&#1067;&#1045;\&#1044;&#1080;&#1072;&#1075;&#1088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400"/>
            </a:pPr>
            <a:r>
              <a:rPr lang="ru-RU" sz="1400"/>
              <a:t>Количество</a:t>
            </a:r>
            <a:r>
              <a:rPr lang="ru-RU" sz="1400" baseline="0"/>
              <a:t> обращений граждан, поступивших в налоговые органы</a:t>
            </a:r>
            <a:br>
              <a:rPr lang="ru-RU" sz="1400" baseline="0"/>
            </a:br>
            <a:r>
              <a:rPr lang="ru-RU" sz="1400" baseline="0"/>
              <a:t> Мурманской области во 2 квартале 2018 года, по тематике вопроса</a:t>
            </a:r>
            <a:endParaRPr lang="ru-RU" sz="14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3.9400724852380907E-2"/>
          <c:y val="0.1115203280637686"/>
          <c:w val="0.74143085982447043"/>
          <c:h val="0.865670181057876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Лист1!$B$5</c:f>
              <c:strCache>
                <c:ptCount val="1"/>
                <c:pt idx="0">
                  <c:v>Жалобы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Лист1!$C$5</c:f>
              <c:numCache>
                <c:formatCode>General</c:formatCode>
                <c:ptCount val="1"/>
                <c:pt idx="0">
                  <c:v>63</c:v>
                </c:pt>
              </c:numCache>
            </c:numRef>
          </c:val>
        </c:ser>
        <c:ser>
          <c:idx val="1"/>
          <c:order val="1"/>
          <c:tx>
            <c:strRef>
              <c:f>Лист1!$B$6</c:f>
              <c:strCache>
                <c:ptCount val="1"/>
                <c:pt idx="0">
                  <c:v>Имущественные налоги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Лист1!$C$6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Лист1!$B$7</c:f>
              <c:strCache>
                <c:ptCount val="1"/>
                <c:pt idx="0">
                  <c:v>Задолженность по налогам и сборам</c:v>
                </c:pt>
              </c:strCache>
            </c:strRef>
          </c:tx>
          <c:spPr>
            <a:solidFill>
              <a:srgbClr val="660066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Лист1!$C$7</c:f>
              <c:numCache>
                <c:formatCode>General</c:formatCode>
                <c:ptCount val="1"/>
                <c:pt idx="0">
                  <c:v>58</c:v>
                </c:pt>
              </c:numCache>
            </c:numRef>
          </c:val>
        </c:ser>
        <c:ser>
          <c:idx val="3"/>
          <c:order val="3"/>
          <c:tx>
            <c:strRef>
              <c:f>Лист1!$B$8</c:f>
              <c:strCache>
                <c:ptCount val="1"/>
                <c:pt idx="0">
                  <c:v>Налог на доходы физических лиц</c:v>
                </c:pt>
              </c:strCache>
            </c:strRef>
          </c:tx>
          <c:spPr>
            <a:solidFill>
              <a:srgbClr val="FFCC0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Лист1!$C$8</c:f>
              <c:numCache>
                <c:formatCode>General</c:formatCode>
                <c:ptCount val="1"/>
                <c:pt idx="0">
                  <c:v>36</c:v>
                </c:pt>
              </c:numCache>
            </c:numRef>
          </c:val>
        </c:ser>
        <c:ser>
          <c:idx val="4"/>
          <c:order val="4"/>
          <c:tx>
            <c:strRef>
              <c:f>Лист1!$B$9</c:f>
              <c:strCache>
                <c:ptCount val="1"/>
                <c:pt idx="0">
                  <c:v>Государственная регистрация</c:v>
                </c:pt>
              </c:strCache>
            </c:strRef>
          </c:tx>
          <c:spPr>
            <a:solidFill>
              <a:srgbClr val="00CC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Лист1!$C$9</c:f>
              <c:numCache>
                <c:formatCode>General</c:formatCode>
                <c:ptCount val="1"/>
                <c:pt idx="0">
                  <c:v>17</c:v>
                </c:pt>
              </c:numCache>
            </c:numRef>
          </c:val>
        </c:ser>
        <c:ser>
          <c:idx val="5"/>
          <c:order val="5"/>
          <c:tx>
            <c:strRef>
              <c:f>Лист1!$B$10</c:f>
              <c:strCache>
                <c:ptCount val="1"/>
                <c:pt idx="0">
                  <c:v>Налогообложение малого бизнеса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Лист1!$C$10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</c:ser>
        <c:ser>
          <c:idx val="6"/>
          <c:order val="6"/>
          <c:tx>
            <c:strRef>
              <c:f>Лист1!$B$11</c:f>
              <c:strCache>
                <c:ptCount val="1"/>
                <c:pt idx="0">
                  <c:v>Зачет и возврат</c:v>
                </c:pt>
              </c:strCache>
            </c:strRef>
          </c:tx>
          <c:spPr>
            <a:solidFill>
              <a:srgbClr val="00990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Лист1!$C$11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</c:ser>
        <c:ser>
          <c:idx val="7"/>
          <c:order val="7"/>
          <c:tx>
            <c:strRef>
              <c:f>Лист1!$B$12</c:f>
              <c:strCache>
                <c:ptCount val="1"/>
                <c:pt idx="0">
                  <c:v>Контроль исполнения законодательства</c:v>
                </c:pt>
              </c:strCache>
            </c:strRef>
          </c:tx>
          <c:spPr>
            <a:solidFill>
              <a:srgbClr val="CC3399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Лист1!$C$12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</c:ser>
        <c:ser>
          <c:idx val="8"/>
          <c:order val="8"/>
          <c:tx>
            <c:strRef>
              <c:f>Лист1!$B$13</c:f>
              <c:strCache>
                <c:ptCount val="1"/>
                <c:pt idx="0">
                  <c:v>Работа с налогоплательщиками</c:v>
                </c:pt>
              </c:strCache>
            </c:strRef>
          </c:tx>
          <c:spPr>
            <a:solidFill>
              <a:srgbClr val="00808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9"/>
          <c:order val="9"/>
          <c:tx>
            <c:strRef>
              <c:f>Лист1!$B$14</c:f>
              <c:strCache>
                <c:ptCount val="1"/>
                <c:pt idx="0">
                  <c:v>Учет налогоплательщиков</c:v>
                </c:pt>
              </c:strCache>
            </c:strRef>
          </c:tx>
          <c:spPr>
            <a:solidFill>
              <a:srgbClr val="0000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Лист1!$C$14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0"/>
          <c:order val="10"/>
          <c:tx>
            <c:strRef>
              <c:f>Лист1!$B$15</c:f>
              <c:strCache>
                <c:ptCount val="1"/>
                <c:pt idx="0">
                  <c:v>Регистрация ККТ</c:v>
                </c:pt>
              </c:strCache>
            </c:strRef>
          </c:tx>
          <c:spPr>
            <a:solidFill>
              <a:srgbClr val="9999FF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Лист1!$C$15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1"/>
          <c:order val="11"/>
          <c:tx>
            <c:strRef>
              <c:f>Лист1!$B$16</c:f>
              <c:strCache>
                <c:ptCount val="1"/>
                <c:pt idx="0">
                  <c:v>Уклонение от налогообложения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Лист1!$C$16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</c:ser>
        <c:ser>
          <c:idx val="12"/>
          <c:order val="12"/>
          <c:tx>
            <c:strRef>
              <c:f>Лист1!$B$17</c:f>
              <c:strCache>
                <c:ptCount val="1"/>
                <c:pt idx="0">
                  <c:v>Другие вопросы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Лист1!$C$17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2868736"/>
        <c:axId val="81117568"/>
      </c:barChart>
      <c:catAx>
        <c:axId val="132868736"/>
        <c:scaling>
          <c:orientation val="minMax"/>
        </c:scaling>
        <c:delete val="1"/>
        <c:axPos val="b"/>
        <c:majorGridlines/>
        <c:numFmt formatCode="@" sourceLinked="0"/>
        <c:majorTickMark val="out"/>
        <c:minorTickMark val="none"/>
        <c:tickLblPos val="nextTo"/>
        <c:crossAx val="81117568"/>
        <c:crosses val="autoZero"/>
        <c:auto val="1"/>
        <c:lblAlgn val="ctr"/>
        <c:lblOffset val="100"/>
        <c:noMultiLvlLbl val="0"/>
      </c:catAx>
      <c:valAx>
        <c:axId val="8111756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2868736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4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6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7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8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9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0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1"/>
        <c:txPr>
          <a:bodyPr/>
          <a:lstStyle/>
          <a:p>
            <a:pPr>
              <a:defRPr sz="1200"/>
            </a:pPr>
            <a:endParaRPr lang="ru-RU"/>
          </a:p>
        </c:txPr>
      </c:legendEntry>
      <c:legendEntry>
        <c:idx val="12"/>
        <c:txPr>
          <a:bodyPr/>
          <a:lstStyle/>
          <a:p>
            <a:pPr>
              <a:defRPr sz="1200"/>
            </a:pPr>
            <a:endParaRPr lang="ru-RU"/>
          </a:p>
        </c:txPr>
      </c:legendEntry>
      <c:layout>
        <c:manualLayout>
          <c:xMode val="edge"/>
          <c:yMode val="edge"/>
          <c:x val="0.77940893491465424"/>
          <c:y val="0.11445316638964043"/>
          <c:w val="0.22059106529209621"/>
          <c:h val="0.88554688247449287"/>
        </c:manualLayout>
      </c:layout>
      <c:overlay val="0"/>
      <c:txPr>
        <a:bodyPr/>
        <a:lstStyle/>
        <a:p>
          <a:pPr>
            <a:defRPr sz="13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 Коновалова</dc:creator>
  <cp:lastModifiedBy>Ирина Михайловна Коновалова</cp:lastModifiedBy>
  <cp:revision>1</cp:revision>
  <dcterms:created xsi:type="dcterms:W3CDTF">2018-08-16T13:03:00Z</dcterms:created>
  <dcterms:modified xsi:type="dcterms:W3CDTF">2018-08-16T13:12:00Z</dcterms:modified>
</cp:coreProperties>
</file>